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A43E2" w14:textId="77777777" w:rsidR="00FA0A7C" w:rsidRPr="00107A82" w:rsidRDefault="00FA0A7C" w:rsidP="00FA0A7C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 EDUC’ACTIONS</w:t>
      </w:r>
    </w:p>
    <w:p w14:paraId="123AFE9C" w14:textId="77777777" w:rsidR="00FA0A7C" w:rsidRDefault="00FA0A7C" w:rsidP="00FA0A7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à but humanitaire</w:t>
      </w:r>
    </w:p>
    <w:p w14:paraId="7C46616A" w14:textId="77777777" w:rsidR="00FA0A7C" w:rsidRDefault="00FA0A7C" w:rsidP="00FA0A7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soumise à la loi du 1</w:t>
      </w:r>
      <w:r w:rsidRPr="00666CDE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juillet 1901</w:t>
      </w:r>
    </w:p>
    <w:p w14:paraId="331408EF" w14:textId="77777777" w:rsidR="00FA0A7C" w:rsidRPr="00107A82" w:rsidRDefault="00FA0A7C" w:rsidP="00FA0A7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Siège social : 30, rue du Puits – JACOU (34830)</w:t>
      </w:r>
    </w:p>
    <w:p w14:paraId="22A7822E" w14:textId="77777777" w:rsidR="00FA0A7C" w:rsidRPr="00107A82" w:rsidRDefault="00FA0A7C" w:rsidP="00FA0A7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7A82">
        <w:rPr>
          <w:rFonts w:ascii="Times New Roman" w:hAnsi="Times New Roman"/>
          <w:sz w:val="24"/>
          <w:szCs w:val="24"/>
        </w:rPr>
        <w:t>_____</w:t>
      </w:r>
    </w:p>
    <w:p w14:paraId="0F39F1E2" w14:textId="77777777" w:rsidR="00FA0A7C" w:rsidRDefault="00FA0A7C" w:rsidP="00FA0A7C">
      <w:pPr>
        <w:spacing w:before="0" w:after="0"/>
        <w:rPr>
          <w:rFonts w:ascii="Times New Roman" w:hAnsi="Times New Roman"/>
          <w:sz w:val="24"/>
          <w:szCs w:val="24"/>
        </w:rPr>
      </w:pPr>
    </w:p>
    <w:p w14:paraId="3D013668" w14:textId="77777777" w:rsidR="00D113F1" w:rsidRPr="00107A82" w:rsidRDefault="00D113F1" w:rsidP="00854839">
      <w:p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7290FC4F" w14:textId="77777777" w:rsidR="00FA0A7C" w:rsidRDefault="00FA0A7C" w:rsidP="00FA0A7C">
      <w:pPr>
        <w:keepNext/>
        <w:spacing w:before="0"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7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Rapport moral du Président</w:t>
      </w:r>
    </w:p>
    <w:p w14:paraId="3F2C5C4F" w14:textId="77777777" w:rsidR="00FA0A7C" w:rsidRDefault="00FA0A7C" w:rsidP="00FA0A7C">
      <w:pPr>
        <w:keepNext/>
        <w:spacing w:before="0"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à l</w:t>
      </w:r>
      <w:r>
        <w:rPr>
          <w:rFonts w:ascii="Times New Roman" w:hAnsi="Times New Roman"/>
          <w:b/>
          <w:caps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assemblée générale ordinaire</w:t>
      </w:r>
    </w:p>
    <w:p w14:paraId="23DE150C" w14:textId="234C301C" w:rsidR="00FA0A7C" w:rsidRDefault="00FA0A7C" w:rsidP="00FA0A7C">
      <w:pPr>
        <w:keepNext/>
        <w:spacing w:before="0"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107A82">
        <w:rPr>
          <w:rFonts w:ascii="Times New Roman" w:hAnsi="Times New Roman"/>
          <w:b/>
          <w:sz w:val="24"/>
          <w:szCs w:val="24"/>
        </w:rPr>
        <w:t xml:space="preserve">u </w:t>
      </w:r>
      <w:r w:rsidR="00F71D66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avril 201</w:t>
      </w:r>
      <w:r w:rsidR="00F71D6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117488AC" w14:textId="77777777" w:rsidR="00FA0A7C" w:rsidRPr="00FA0A7C" w:rsidRDefault="00FA0A7C" w:rsidP="00F71D66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3EABE7CE" w14:textId="77777777" w:rsidR="00FA0A7C" w:rsidRPr="00FA0A7C" w:rsidRDefault="00FA0A7C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25146284" w14:textId="77777777" w:rsidR="00FE6C26" w:rsidRDefault="00FE6C26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Chers Membres,</w:t>
      </w:r>
    </w:p>
    <w:p w14:paraId="4E7BC4F2" w14:textId="77777777" w:rsidR="00BA79F1" w:rsidRDefault="00BA79F1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74B553BC" w14:textId="4A9DE339" w:rsidR="00F444CB" w:rsidRDefault="00F444CB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bookmarkStart w:id="0" w:name="_GoBack"/>
      <w:bookmarkEnd w:id="0"/>
    </w:p>
    <w:p w14:paraId="73D9FA33" w14:textId="6EC226A1" w:rsidR="00BA79F1" w:rsidRDefault="00BA79F1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 xml:space="preserve">Notre association a vécu 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>en 2018 et début 2019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75932">
        <w:rPr>
          <w:rFonts w:ascii="Times New Roman" w:eastAsiaTheme="minorEastAsia" w:hAnsi="Times New Roman"/>
          <w:snapToGrid/>
          <w:sz w:val="24"/>
          <w:szCs w:val="24"/>
        </w:rPr>
        <w:t xml:space="preserve">le plus grand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bouleversement dans son organisation en Inde, depuis 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>son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implantation il y a 25 ans,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et ce en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conséquence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 xml:space="preserve"> des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très </w:t>
      </w:r>
      <w:r w:rsidR="00BA3C0C">
        <w:rPr>
          <w:rFonts w:ascii="Times New Roman" w:eastAsiaTheme="minorEastAsia" w:hAnsi="Times New Roman"/>
          <w:snapToGrid/>
          <w:sz w:val="24"/>
          <w:szCs w:val="24"/>
        </w:rPr>
        <w:t xml:space="preserve">grands changements </w:t>
      </w:r>
      <w:r>
        <w:rPr>
          <w:rFonts w:ascii="Times New Roman" w:eastAsiaTheme="minorEastAsia" w:hAnsi="Times New Roman"/>
          <w:snapToGrid/>
          <w:sz w:val="24"/>
          <w:szCs w:val="24"/>
        </w:rPr>
        <w:t>mis en place par le Premier Ministre</w:t>
      </w:r>
      <w:r w:rsidR="00C81DDB">
        <w:rPr>
          <w:rFonts w:ascii="Times New Roman" w:eastAsiaTheme="minorEastAsia" w:hAnsi="Times New Roman"/>
          <w:snapToGrid/>
          <w:sz w:val="24"/>
          <w:szCs w:val="24"/>
        </w:rPr>
        <w:t xml:space="preserve"> Narendra Modi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,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depuis son arrivée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au pouvoir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en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C81DDB">
        <w:rPr>
          <w:rFonts w:ascii="Times New Roman" w:eastAsiaTheme="minorEastAsia" w:hAnsi="Times New Roman"/>
          <w:snapToGrid/>
          <w:sz w:val="24"/>
          <w:szCs w:val="24"/>
        </w:rPr>
        <w:t>2014</w:t>
      </w:r>
      <w:r>
        <w:rPr>
          <w:rFonts w:ascii="Times New Roman" w:eastAsiaTheme="minorEastAsia" w:hAnsi="Times New Roman"/>
          <w:snapToGrid/>
          <w:sz w:val="24"/>
          <w:szCs w:val="24"/>
        </w:rPr>
        <w:t>.</w:t>
      </w:r>
      <w:r w:rsidR="00BA3C0C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</w:p>
    <w:p w14:paraId="5EEBC84D" w14:textId="77777777" w:rsidR="00875932" w:rsidRDefault="00875932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4CC80C95" w14:textId="142B8EB8" w:rsidR="00014FD6" w:rsidRDefault="00EC09BC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N. Modi</w:t>
      </w:r>
      <w:r w:rsidR="00AE7BB8">
        <w:rPr>
          <w:rFonts w:ascii="Times New Roman" w:eastAsiaTheme="minorEastAsia" w:hAnsi="Times New Roman"/>
          <w:snapToGrid/>
          <w:sz w:val="24"/>
          <w:szCs w:val="24"/>
        </w:rPr>
        <w:t xml:space="preserve"> a voulu lutter contre </w:t>
      </w:r>
      <w:r w:rsidR="00BA79F1">
        <w:rPr>
          <w:rFonts w:ascii="Times New Roman" w:eastAsiaTheme="minorEastAsia" w:hAnsi="Times New Roman"/>
          <w:snapToGrid/>
          <w:sz w:val="24"/>
          <w:szCs w:val="24"/>
        </w:rPr>
        <w:t xml:space="preserve">le terrorisme et </w:t>
      </w:r>
      <w:r w:rsidR="00AE7BB8">
        <w:rPr>
          <w:rFonts w:ascii="Times New Roman" w:eastAsiaTheme="minorEastAsia" w:hAnsi="Times New Roman"/>
          <w:snapToGrid/>
          <w:sz w:val="24"/>
          <w:szCs w:val="24"/>
        </w:rPr>
        <w:t>la corruption et</w:t>
      </w:r>
      <w:r w:rsidR="00A46D96">
        <w:rPr>
          <w:rFonts w:ascii="Times New Roman" w:eastAsiaTheme="minorEastAsia" w:hAnsi="Times New Roman"/>
          <w:snapToGrid/>
          <w:sz w:val="24"/>
          <w:szCs w:val="24"/>
        </w:rPr>
        <w:t>,</w:t>
      </w:r>
      <w:r w:rsidR="00AE7BB8">
        <w:rPr>
          <w:rFonts w:ascii="Times New Roman" w:eastAsiaTheme="minorEastAsia" w:hAnsi="Times New Roman"/>
          <w:snapToGrid/>
          <w:sz w:val="24"/>
          <w:szCs w:val="24"/>
        </w:rPr>
        <w:t xml:space="preserve"> pour ce faire</w:t>
      </w:r>
      <w:r w:rsidR="00875932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A46D96">
        <w:rPr>
          <w:rFonts w:ascii="Times New Roman" w:eastAsiaTheme="minorEastAsia" w:hAnsi="Times New Roman"/>
          <w:snapToGrid/>
          <w:sz w:val="24"/>
          <w:szCs w:val="24"/>
        </w:rPr>
        <w:t>a instauré</w:t>
      </w:r>
      <w:r w:rsidR="00AE7BB8">
        <w:rPr>
          <w:rFonts w:ascii="Times New Roman" w:eastAsiaTheme="minorEastAsia" w:hAnsi="Times New Roman"/>
          <w:snapToGrid/>
          <w:sz w:val="24"/>
          <w:szCs w:val="24"/>
        </w:rPr>
        <w:t xml:space="preserve"> un contrôle </w:t>
      </w:r>
      <w:r w:rsidR="00A46D96">
        <w:rPr>
          <w:rFonts w:ascii="Times New Roman" w:eastAsiaTheme="minorEastAsia" w:hAnsi="Times New Roman"/>
          <w:snapToGrid/>
          <w:sz w:val="24"/>
          <w:szCs w:val="24"/>
        </w:rPr>
        <w:t>très strict des entrées d’a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 xml:space="preserve">rgent et considérablement renforcé les règles 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>de l’autorisation gouvernementale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,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 xml:space="preserve"> dénommée « FCRA »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,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 xml:space="preserve"> qu</w:t>
      </w:r>
      <w:r w:rsidR="00F2392D">
        <w:rPr>
          <w:rFonts w:ascii="Times New Roman" w:eastAsiaTheme="minorEastAsia" w:hAnsi="Times New Roman"/>
          <w:snapToGrid/>
          <w:sz w:val="24"/>
          <w:szCs w:val="24"/>
        </w:rPr>
        <w:t>i permet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 xml:space="preserve"> à une ONG de recevoir de l’argent de l’étranger par 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>transferts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 xml:space="preserve"> bancaires. 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>L’Inde compt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e environ 3 200 000 ONG dont</w:t>
      </w:r>
      <w:r w:rsidR="00DB7B8F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    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 xml:space="preserve">33 000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étaient titulaires du FCRA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 avant 2015.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C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>e nombre a été ra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 xml:space="preserve">mené à 11 000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en 2015 et continue à baisser.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En 2018</w:t>
      </w:r>
      <w:r w:rsidR="00C81DDB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>30 % des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 ONG installées à Pondicherry 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>ont perdu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 leur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accréditation</w:t>
      </w:r>
      <w:r w:rsidR="003A6321">
        <w:rPr>
          <w:rFonts w:ascii="Times New Roman" w:eastAsiaTheme="minorEastAsia" w:hAnsi="Times New Roman"/>
          <w:snapToGrid/>
          <w:sz w:val="24"/>
          <w:szCs w:val="24"/>
        </w:rPr>
        <w:t>.</w:t>
      </w:r>
      <w:r w:rsidR="00875932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</w:p>
    <w:p w14:paraId="1DEDDCC2" w14:textId="77777777" w:rsidR="00014FD6" w:rsidRDefault="00014FD6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09F0273D" w14:textId="4107F042" w:rsidR="00BB60BE" w:rsidRDefault="00875932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 xml:space="preserve">Depuis plusieurs années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nous ne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pouvions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plus 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>envoyer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>les dons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 par virements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bancaires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directs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>au profit de nos partenaires sur le terrain. Dès 2015, à l’effet de pouvoir continuer nos activités, nous avons mis en place</w:t>
      </w:r>
      <w:r w:rsidR="00EC09BC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>une nouvelle structure</w:t>
      </w:r>
      <w:r w:rsidR="00EC09BC">
        <w:rPr>
          <w:rFonts w:ascii="Times New Roman" w:eastAsiaTheme="minorEastAsia" w:hAnsi="Times New Roman"/>
          <w:snapToGrid/>
          <w:sz w:val="24"/>
          <w:szCs w:val="24"/>
        </w:rPr>
        <w:t xml:space="preserve"> dénommée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 xml:space="preserve"> « IEA Trust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 xml:space="preserve"> » dont le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siège est à Pondicherry. 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>C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>’est une association</w:t>
      </w:r>
      <w:r w:rsidR="00835A0F">
        <w:rPr>
          <w:rFonts w:ascii="Times New Roman" w:eastAsiaTheme="minorEastAsia" w:hAnsi="Times New Roman"/>
          <w:snapToGrid/>
          <w:sz w:val="24"/>
          <w:szCs w:val="24"/>
        </w:rPr>
        <w:t xml:space="preserve"> caritative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 xml:space="preserve"> de loi indienne, composée uniquement de membres indiens bénévoles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 xml:space="preserve">,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elle est dirigée par Elizabeth 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>qui cumule désormais les deux fonctions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 d’assistante sociale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 de l’antenne de Pondicherry et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de </w:t>
      </w:r>
      <w:r w:rsidR="00014FD6">
        <w:rPr>
          <w:rFonts w:ascii="Times New Roman" w:eastAsiaTheme="minorEastAsia" w:hAnsi="Times New Roman"/>
          <w:snapToGrid/>
          <w:sz w:val="24"/>
          <w:szCs w:val="24"/>
        </w:rPr>
        <w:t xml:space="preserve">directrice générale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de l’association.</w:t>
      </w:r>
    </w:p>
    <w:p w14:paraId="6C5C1549" w14:textId="57C132A8" w:rsidR="00245FB8" w:rsidRDefault="00EC09BC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En août 2018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 xml:space="preserve">, après trois 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>années de lourdes et complexes</w:t>
      </w:r>
      <w:r w:rsidR="00245FB8">
        <w:rPr>
          <w:rFonts w:ascii="Times New Roman" w:eastAsiaTheme="minorEastAsia" w:hAnsi="Times New Roman"/>
          <w:snapToGrid/>
          <w:sz w:val="24"/>
          <w:szCs w:val="24"/>
        </w:rPr>
        <w:t xml:space="preserve"> de formalités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et </w:t>
      </w:r>
      <w:r w:rsidR="00835A0F">
        <w:rPr>
          <w:rFonts w:ascii="Times New Roman" w:eastAsiaTheme="minorEastAsia" w:hAnsi="Times New Roman"/>
          <w:snapToGrid/>
          <w:sz w:val="24"/>
          <w:szCs w:val="24"/>
        </w:rPr>
        <w:t xml:space="preserve">de </w:t>
      </w:r>
      <w:r>
        <w:rPr>
          <w:rFonts w:ascii="Times New Roman" w:eastAsiaTheme="minorEastAsia" w:hAnsi="Times New Roman"/>
          <w:snapToGrid/>
          <w:sz w:val="24"/>
          <w:szCs w:val="24"/>
        </w:rPr>
        <w:t>multiples contrôles</w:t>
      </w:r>
      <w:r w:rsidR="00835A0F">
        <w:rPr>
          <w:rFonts w:ascii="Times New Roman" w:eastAsiaTheme="minorEastAsia" w:hAnsi="Times New Roman"/>
          <w:snapToGrid/>
          <w:sz w:val="24"/>
          <w:szCs w:val="24"/>
        </w:rPr>
        <w:t>,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B130E8">
        <w:rPr>
          <w:rFonts w:ascii="Times New Roman" w:eastAsiaTheme="minorEastAsia" w:hAnsi="Times New Roman"/>
          <w:snapToGrid/>
          <w:sz w:val="24"/>
          <w:szCs w:val="24"/>
        </w:rPr>
        <w:t>IEA T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>rust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35A0F">
        <w:rPr>
          <w:rFonts w:ascii="Times New Roman" w:eastAsiaTheme="minorEastAsia" w:hAnsi="Times New Roman"/>
          <w:snapToGrid/>
          <w:sz w:val="24"/>
          <w:szCs w:val="24"/>
        </w:rPr>
        <w:t xml:space="preserve">a obtenu le précieux </w:t>
      </w:r>
      <w:r w:rsidR="00835A0F" w:rsidRPr="00844EC6">
        <w:rPr>
          <w:rFonts w:ascii="Times New Roman" w:eastAsiaTheme="minorEastAsia" w:hAnsi="Times New Roman"/>
          <w:b/>
          <w:snapToGrid/>
          <w:sz w:val="24"/>
          <w:szCs w:val="24"/>
        </w:rPr>
        <w:t>FCRA</w:t>
      </w:r>
      <w:r w:rsidRPr="00844EC6">
        <w:rPr>
          <w:rFonts w:ascii="Times New Roman" w:eastAsiaTheme="minorEastAsia" w:hAnsi="Times New Roman"/>
          <w:b/>
          <w:snapToGrid/>
          <w:sz w:val="24"/>
          <w:szCs w:val="24"/>
        </w:rPr>
        <w:t xml:space="preserve"> </w:t>
      </w:r>
      <w:r w:rsidR="00835A0F" w:rsidRPr="00844EC6">
        <w:rPr>
          <w:rFonts w:ascii="Times New Roman" w:eastAsiaTheme="minorEastAsia" w:hAnsi="Times New Roman"/>
          <w:b/>
          <w:snapToGrid/>
          <w:sz w:val="24"/>
          <w:szCs w:val="24"/>
        </w:rPr>
        <w:t>dans le secteur de « l’Education </w:t>
      </w:r>
      <w:r w:rsidR="00835A0F">
        <w:rPr>
          <w:rFonts w:ascii="Times New Roman" w:eastAsiaTheme="minorEastAsia" w:hAnsi="Times New Roman"/>
          <w:snapToGrid/>
          <w:sz w:val="24"/>
          <w:szCs w:val="24"/>
        </w:rPr>
        <w:t>», pour une durée de cinq ans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renouvelable.</w:t>
      </w:r>
      <w:r w:rsidR="00F2392D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</w:p>
    <w:p w14:paraId="5F18D671" w14:textId="77777777" w:rsidR="00D9505C" w:rsidRDefault="00D9505C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2E1E0522" w14:textId="35598DCB" w:rsidR="00951554" w:rsidRDefault="00951554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 w:rsidRPr="00844EC6">
        <w:rPr>
          <w:rFonts w:ascii="Times New Roman" w:eastAsiaTheme="minorEastAsia" w:hAnsi="Times New Roman"/>
          <w:b/>
          <w:snapToGrid/>
          <w:sz w:val="24"/>
          <w:szCs w:val="24"/>
        </w:rPr>
        <w:t>IEA Trust</w:t>
      </w:r>
      <w:r w:rsidR="0050592B">
        <w:rPr>
          <w:rFonts w:ascii="Times New Roman" w:eastAsiaTheme="minorEastAsia" w:hAnsi="Times New Roman"/>
          <w:snapToGrid/>
          <w:sz w:val="24"/>
          <w:szCs w:val="24"/>
        </w:rPr>
        <w:t xml:space="preserve"> est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désormais notre </w:t>
      </w:r>
      <w:r w:rsidRPr="00844EC6">
        <w:rPr>
          <w:rFonts w:ascii="Times New Roman" w:eastAsiaTheme="minorEastAsia" w:hAnsi="Times New Roman"/>
          <w:b/>
          <w:snapToGrid/>
          <w:sz w:val="24"/>
          <w:szCs w:val="24"/>
        </w:rPr>
        <w:t>seul et unique partenaire en Inde</w:t>
      </w:r>
      <w:r>
        <w:rPr>
          <w:rFonts w:ascii="Times New Roman" w:eastAsiaTheme="minorEastAsia" w:hAnsi="Times New Roman"/>
          <w:snapToGrid/>
          <w:sz w:val="24"/>
          <w:szCs w:val="24"/>
        </w:rPr>
        <w:t>, pour les trois antennes de Chennaï, Karaikal et Pondicherry.</w:t>
      </w:r>
      <w:r w:rsidR="00D9505C">
        <w:rPr>
          <w:rFonts w:ascii="Times New Roman" w:eastAsiaTheme="minorEastAsia" w:hAnsi="Times New Roman"/>
          <w:snapToGrid/>
          <w:sz w:val="24"/>
          <w:szCs w:val="24"/>
        </w:rPr>
        <w:t xml:space="preserve"> C’est à elle que nous transférons 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>maintenant</w:t>
      </w:r>
      <w:r w:rsidR="00D9505C">
        <w:rPr>
          <w:rFonts w:ascii="Times New Roman" w:eastAsiaTheme="minorEastAsia" w:hAnsi="Times New Roman"/>
          <w:snapToGrid/>
          <w:sz w:val="24"/>
          <w:szCs w:val="24"/>
        </w:rPr>
        <w:t xml:space="preserve"> l’ensemble des dons, 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>sur un compte bancaire spécial dédié aux transactions avec l’étranger, les fonds sont ensuite virés directement par la banque indienne</w:t>
      </w:r>
      <w:r w:rsidR="00D9505C">
        <w:rPr>
          <w:rFonts w:ascii="Times New Roman" w:eastAsiaTheme="minorEastAsia" w:hAnsi="Times New Roman"/>
          <w:snapToGrid/>
          <w:sz w:val="24"/>
          <w:szCs w:val="24"/>
        </w:rPr>
        <w:t xml:space="preserve"> sur les comptes bancaires des familles, selon les montants établis par nos soins.</w:t>
      </w:r>
    </w:p>
    <w:p w14:paraId="660ED80C" w14:textId="62832ED5" w:rsidR="00854839" w:rsidRDefault="00854839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IEA Trust suit actuellement environ 800 femmes et enfants.</w:t>
      </w:r>
    </w:p>
    <w:p w14:paraId="5DA87F7D" w14:textId="77777777" w:rsidR="00854839" w:rsidRDefault="00854839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47A172F9" w14:textId="2F7178B1" w:rsidR="0050592B" w:rsidRDefault="00EC09BC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 xml:space="preserve">Le FCRA contraint </w:t>
      </w:r>
      <w:r w:rsidR="004C0F55">
        <w:rPr>
          <w:rFonts w:ascii="Times New Roman" w:eastAsiaTheme="minorEastAsia" w:hAnsi="Times New Roman"/>
          <w:snapToGrid/>
          <w:sz w:val="24"/>
          <w:szCs w:val="24"/>
        </w:rPr>
        <w:t>à un très grand nombre d’obligations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> </w:t>
      </w:r>
      <w:r w:rsidR="00195BBB">
        <w:rPr>
          <w:rFonts w:ascii="Times New Roman" w:eastAsiaTheme="minorEastAsia" w:hAnsi="Times New Roman"/>
          <w:snapToGrid/>
          <w:sz w:val="24"/>
          <w:szCs w:val="24"/>
        </w:rPr>
        <w:t>qui doivent être scrupuleusement suivies, sous peine de perte du précieux sésame, qui entrainerait la fin de nos activités en Inde. C’est ainsi que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 :</w:t>
      </w:r>
    </w:p>
    <w:p w14:paraId="653B7D90" w14:textId="77777777" w:rsidR="00951554" w:rsidRDefault="00951554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0F8F8E40" w14:textId="7EFEBC77" w:rsidR="00FE6C26" w:rsidRPr="00951554" w:rsidRDefault="00B130E8" w:rsidP="00951554">
      <w:pPr>
        <w:pStyle w:val="Paragraphedeliste"/>
        <w:widowControl w:val="0"/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rPr>
          <w:rFonts w:ascii="Times New Roman" w:eastAsiaTheme="minorEastAsia" w:hAnsi="Times New Roman"/>
          <w:snapToGrid/>
          <w:sz w:val="24"/>
          <w:szCs w:val="24"/>
        </w:rPr>
      </w:pPr>
      <w:r w:rsidRPr="00951554">
        <w:rPr>
          <w:rFonts w:ascii="Times New Roman" w:eastAsiaTheme="minorEastAsia" w:hAnsi="Times New Roman"/>
          <w:snapToGrid/>
          <w:sz w:val="24"/>
          <w:szCs w:val="24"/>
        </w:rPr>
        <w:lastRenderedPageBreak/>
        <w:t xml:space="preserve">une association titulaire du FCRA ne peut pas cohabiter avec une autre association qui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 possède également</w:t>
      </w:r>
      <w:r w:rsidR="00835A0F" w:rsidRPr="00951554">
        <w:rPr>
          <w:rFonts w:ascii="Times New Roman" w:eastAsiaTheme="minorEastAsia" w:hAnsi="Times New Roman"/>
          <w:snapToGrid/>
          <w:sz w:val="24"/>
          <w:szCs w:val="24"/>
        </w:rPr>
        <w:t xml:space="preserve"> cette accréditation</w:t>
      </w:r>
      <w:r w:rsidRPr="00951554">
        <w:rPr>
          <w:rFonts w:ascii="Times New Roman" w:eastAsiaTheme="minorEastAsia" w:hAnsi="Times New Roman"/>
          <w:snapToGrid/>
          <w:sz w:val="24"/>
          <w:szCs w:val="24"/>
        </w:rPr>
        <w:t xml:space="preserve">,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comme c’était le cas à Karaikal pour les sœurs de Cluny ou souhaite en refaire la demande comme Speed Trust à Chennaï. C</w:t>
      </w:r>
      <w:r w:rsidR="00835A0F" w:rsidRPr="00951554">
        <w:rPr>
          <w:rFonts w:ascii="Times New Roman" w:eastAsiaTheme="minorEastAsia" w:hAnsi="Times New Roman"/>
          <w:snapToGrid/>
          <w:sz w:val="24"/>
          <w:szCs w:val="24"/>
        </w:rPr>
        <w:t>ela nous a contraint à</w:t>
      </w:r>
      <w:r w:rsidRPr="00951554">
        <w:rPr>
          <w:rFonts w:ascii="Times New Roman" w:eastAsiaTheme="minorEastAsia" w:hAnsi="Times New Roman"/>
          <w:snapToGrid/>
          <w:sz w:val="24"/>
          <w:szCs w:val="24"/>
        </w:rPr>
        <w:t xml:space="preserve"> revoir toute l’organisation de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 ces deux antennes,</w:t>
      </w:r>
    </w:p>
    <w:p w14:paraId="40A0892E" w14:textId="5876962B" w:rsidR="001B4F6D" w:rsidRDefault="001B4F6D" w:rsidP="001B4F6D">
      <w:pPr>
        <w:pStyle w:val="Paragraphedeliste"/>
        <w:widowControl w:val="0"/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rPr>
          <w:rFonts w:ascii="Times New Roman" w:eastAsiaTheme="minorEastAsia" w:hAnsi="Times New Roman"/>
          <w:snapToGrid/>
          <w:sz w:val="24"/>
          <w:szCs w:val="24"/>
        </w:rPr>
      </w:pPr>
      <w:r w:rsidRPr="00951554">
        <w:rPr>
          <w:rFonts w:ascii="Times New Roman" w:eastAsiaTheme="minorEastAsia" w:hAnsi="Times New Roman"/>
          <w:snapToGrid/>
          <w:sz w:val="24"/>
          <w:szCs w:val="24"/>
        </w:rPr>
        <w:t>les bénéficiaires des dons doivent justifier de l’utilisation de l’intégralité de</w:t>
      </w:r>
      <w:r>
        <w:rPr>
          <w:rFonts w:ascii="Times New Roman" w:eastAsiaTheme="minorEastAsia" w:hAnsi="Times New Roman"/>
          <w:snapToGrid/>
          <w:sz w:val="24"/>
          <w:szCs w:val="24"/>
        </w:rPr>
        <w:t>s f</w:t>
      </w:r>
      <w:r w:rsidR="00A22161">
        <w:rPr>
          <w:rFonts w:ascii="Times New Roman" w:eastAsiaTheme="minorEastAsia" w:hAnsi="Times New Roman"/>
          <w:snapToGrid/>
          <w:sz w:val="24"/>
          <w:szCs w:val="24"/>
        </w:rPr>
        <w:t xml:space="preserve">onds reçus pour l’Education et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tous les justificatifs doivent être fournis à l’administration indienne, </w:t>
      </w:r>
    </w:p>
    <w:p w14:paraId="0D912389" w14:textId="7B7FC350" w:rsidR="00854839" w:rsidRPr="00951554" w:rsidRDefault="00854839" w:rsidP="001B4F6D">
      <w:pPr>
        <w:pStyle w:val="Paragraphedeliste"/>
        <w:widowControl w:val="0"/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85 % des dons doivent être utilisés dans l’année fiscale, pour éviter la thésaurisation.</w:t>
      </w:r>
    </w:p>
    <w:p w14:paraId="5F1F194C" w14:textId="77777777" w:rsidR="00BB60BE" w:rsidRDefault="00BB60BE" w:rsidP="00FA0A7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1858DA53" w14:textId="6F74D683" w:rsidR="00B130E8" w:rsidRDefault="00835A0F" w:rsidP="00A22161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 xml:space="preserve">A karaikal, 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 xml:space="preserve">nous avons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ainsi 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>dû quitter le</w:t>
      </w:r>
      <w:r w:rsidR="00A22161">
        <w:rPr>
          <w:rFonts w:ascii="Times New Roman" w:eastAsiaTheme="minorEastAsia" w:hAnsi="Times New Roman"/>
          <w:snapToGrid/>
          <w:sz w:val="24"/>
          <w:szCs w:val="24"/>
        </w:rPr>
        <w:t xml:space="preserve">s 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>Sœurs de Cluny qui nous hébergeai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>en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 xml:space="preserve">t </w:t>
      </w:r>
      <w:r w:rsidR="00A22161">
        <w:rPr>
          <w:rFonts w:ascii="Times New Roman" w:eastAsiaTheme="minorEastAsia" w:hAnsi="Times New Roman"/>
          <w:snapToGrid/>
          <w:sz w:val="24"/>
          <w:szCs w:val="24"/>
        </w:rPr>
        <w:t>dans leur couvent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 xml:space="preserve"> et </w:t>
      </w:r>
      <w:r w:rsidR="004D315F">
        <w:rPr>
          <w:rFonts w:ascii="Times New Roman" w:eastAsiaTheme="minorEastAsia" w:hAnsi="Times New Roman"/>
          <w:snapToGrid/>
          <w:sz w:val="24"/>
          <w:szCs w:val="24"/>
        </w:rPr>
        <w:t>IEA T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 xml:space="preserve">rust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a </w:t>
      </w:r>
      <w:r w:rsidR="004D315F">
        <w:rPr>
          <w:rFonts w:ascii="Times New Roman" w:eastAsiaTheme="minorEastAsia" w:hAnsi="Times New Roman"/>
          <w:snapToGrid/>
          <w:sz w:val="24"/>
          <w:szCs w:val="24"/>
        </w:rPr>
        <w:t>construit un petit bâtiment</w:t>
      </w:r>
      <w:r w:rsidR="00A22161">
        <w:rPr>
          <w:rFonts w:ascii="Times New Roman" w:eastAsiaTheme="minorEastAsia" w:hAnsi="Times New Roman"/>
          <w:snapToGrid/>
          <w:sz w:val="24"/>
          <w:szCs w:val="24"/>
        </w:rPr>
        <w:t>,</w:t>
      </w:r>
      <w:r w:rsidR="004D315F">
        <w:rPr>
          <w:rFonts w:ascii="Times New Roman" w:eastAsiaTheme="minorEastAsia" w:hAnsi="Times New Roman"/>
          <w:snapToGrid/>
          <w:sz w:val="24"/>
          <w:szCs w:val="24"/>
        </w:rPr>
        <w:t xml:space="preserve"> inauguré fin 2018, dans lequel Arul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 xml:space="preserve">mary, notre assistante sociale, </w:t>
      </w:r>
      <w:r w:rsidR="004D315F">
        <w:rPr>
          <w:rFonts w:ascii="Times New Roman" w:eastAsiaTheme="minorEastAsia" w:hAnsi="Times New Roman"/>
          <w:snapToGrid/>
          <w:sz w:val="24"/>
          <w:szCs w:val="24"/>
        </w:rPr>
        <w:t>t</w:t>
      </w:r>
      <w:r w:rsidR="00D9505C">
        <w:rPr>
          <w:rFonts w:ascii="Times New Roman" w:eastAsiaTheme="minorEastAsia" w:hAnsi="Times New Roman"/>
          <w:snapToGrid/>
          <w:sz w:val="24"/>
          <w:szCs w:val="24"/>
        </w:rPr>
        <w:t>ravaille et reçoit les familles</w:t>
      </w:r>
      <w:r w:rsidR="00BB60BE">
        <w:rPr>
          <w:rFonts w:ascii="Times New Roman" w:eastAsiaTheme="minorEastAsia" w:hAnsi="Times New Roman"/>
          <w:snapToGrid/>
          <w:sz w:val="24"/>
          <w:szCs w:val="24"/>
        </w:rPr>
        <w:t>.</w:t>
      </w:r>
      <w:r w:rsidR="001B4F6D">
        <w:rPr>
          <w:rFonts w:ascii="Times New Roman" w:eastAsiaTheme="minorEastAsia" w:hAnsi="Times New Roman"/>
          <w:snapToGrid/>
          <w:sz w:val="24"/>
          <w:szCs w:val="24"/>
        </w:rPr>
        <w:t xml:space="preserve"> Elle est désormais salariée par IEA Trust.</w:t>
      </w:r>
    </w:p>
    <w:p w14:paraId="34AC1C15" w14:textId="77777777" w:rsidR="00BB60BE" w:rsidRDefault="00BB60BE" w:rsidP="00A22161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07A30F09" w14:textId="43FE141D" w:rsidR="004D315F" w:rsidRDefault="004D315F" w:rsidP="00A22161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A Che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 xml:space="preserve">nnaï, </w:t>
      </w:r>
      <w:r w:rsidR="00A22161">
        <w:rPr>
          <w:rFonts w:ascii="Times New Roman" w:eastAsiaTheme="minorEastAsia" w:hAnsi="Times New Roman"/>
          <w:snapToGrid/>
          <w:sz w:val="24"/>
          <w:szCs w:val="24"/>
        </w:rPr>
        <w:t xml:space="preserve">nous avons dû quitter les locaux de SPEED Trust à l’entrée du slum de Gandhi Nagar où réside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environ la moitié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 xml:space="preserve"> de nos familles. 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>IEA Trust a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>pris en location un petit bureau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>, aisé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ment accessible à nos filleules.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 E</w:t>
      </w:r>
      <w:r w:rsidR="00951554">
        <w:rPr>
          <w:rFonts w:ascii="Times New Roman" w:eastAsiaTheme="minorEastAsia" w:hAnsi="Times New Roman"/>
          <w:snapToGrid/>
          <w:sz w:val="24"/>
          <w:szCs w:val="24"/>
        </w:rPr>
        <w:t>s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>saki, notre assistante s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ociale a décidé de nous suivre et donc de continuer de 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>s’occuper des familles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. 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>Elle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 xml:space="preserve"> </w:t>
      </w:r>
      <w:r w:rsidR="00854839">
        <w:rPr>
          <w:rFonts w:ascii="Times New Roman" w:eastAsiaTheme="minorEastAsia" w:hAnsi="Times New Roman"/>
          <w:snapToGrid/>
          <w:sz w:val="24"/>
          <w:szCs w:val="24"/>
        </w:rPr>
        <w:t xml:space="preserve">aussi 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 xml:space="preserve">est maintenant 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>salariée par IEA Trust.</w:t>
      </w:r>
    </w:p>
    <w:p w14:paraId="2CAD3404" w14:textId="77777777" w:rsidR="00875932" w:rsidRDefault="00875932" w:rsidP="00D9505C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708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550F5DAD" w14:textId="5D3C8579" w:rsidR="00B3450A" w:rsidRDefault="00222DE1" w:rsidP="00B3450A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  <w:r>
        <w:rPr>
          <w:rFonts w:ascii="Times New Roman" w:eastAsiaTheme="minorEastAsia" w:hAnsi="Times New Roman"/>
          <w:snapToGrid/>
          <w:sz w:val="24"/>
          <w:szCs w:val="24"/>
        </w:rPr>
        <w:t>Par ai</w:t>
      </w:r>
      <w:r w:rsidR="00B3450A">
        <w:rPr>
          <w:rFonts w:ascii="Times New Roman" w:eastAsiaTheme="minorEastAsia" w:hAnsi="Times New Roman"/>
          <w:snapToGrid/>
          <w:sz w:val="24"/>
          <w:szCs w:val="24"/>
        </w:rPr>
        <w:t xml:space="preserve">lleurs, IEA Trust va pouvoir bénéficier </w:t>
      </w:r>
      <w:r>
        <w:rPr>
          <w:rFonts w:ascii="Times New Roman" w:eastAsiaTheme="minorEastAsia" w:hAnsi="Times New Roman"/>
          <w:snapToGrid/>
          <w:sz w:val="24"/>
          <w:szCs w:val="24"/>
        </w:rPr>
        <w:t>d</w:t>
      </w:r>
      <w:r w:rsidR="0096072C">
        <w:rPr>
          <w:rFonts w:ascii="Times New Roman" w:eastAsiaTheme="minorEastAsia" w:hAnsi="Times New Roman"/>
          <w:snapToGrid/>
          <w:sz w:val="24"/>
          <w:szCs w:val="24"/>
        </w:rPr>
        <w:t xml:space="preserve">e nouvelles perspectives de développement </w:t>
      </w:r>
      <w:r w:rsidR="00B3450A">
        <w:rPr>
          <w:rFonts w:ascii="Times New Roman" w:eastAsiaTheme="minorEastAsia" w:hAnsi="Times New Roman"/>
          <w:snapToGrid/>
          <w:sz w:val="24"/>
          <w:szCs w:val="24"/>
        </w:rPr>
        <w:t xml:space="preserve">par </w:t>
      </w:r>
      <w:r>
        <w:rPr>
          <w:rFonts w:ascii="Times New Roman" w:eastAsiaTheme="minorEastAsia" w:hAnsi="Times New Roman"/>
          <w:snapToGrid/>
          <w:sz w:val="24"/>
          <w:szCs w:val="24"/>
        </w:rPr>
        <w:t xml:space="preserve">la collecte </w:t>
      </w:r>
      <w:r w:rsidR="00632DD3">
        <w:rPr>
          <w:rFonts w:ascii="Times New Roman" w:eastAsiaTheme="minorEastAsia" w:hAnsi="Times New Roman"/>
          <w:snapToGrid/>
          <w:sz w:val="24"/>
          <w:szCs w:val="24"/>
        </w:rPr>
        <w:t xml:space="preserve">directe de fonds en </w:t>
      </w:r>
      <w:r w:rsidR="00C5554A">
        <w:rPr>
          <w:rFonts w:ascii="Times New Roman" w:eastAsiaTheme="minorEastAsia" w:hAnsi="Times New Roman"/>
          <w:snapToGrid/>
          <w:sz w:val="24"/>
          <w:szCs w:val="24"/>
        </w:rPr>
        <w:t>Inde :</w:t>
      </w:r>
    </w:p>
    <w:p w14:paraId="40DAFC43" w14:textId="77777777" w:rsidR="00B3450A" w:rsidRDefault="00B3450A" w:rsidP="00B3450A">
      <w:pPr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left="0" w:firstLine="0"/>
        <w:rPr>
          <w:rFonts w:ascii="Times New Roman" w:eastAsiaTheme="minorEastAsia" w:hAnsi="Times New Roman"/>
          <w:snapToGrid/>
          <w:sz w:val="24"/>
          <w:szCs w:val="24"/>
        </w:rPr>
      </w:pPr>
    </w:p>
    <w:p w14:paraId="42FEFD02" w14:textId="79D4FDBB" w:rsidR="00C5554A" w:rsidRDefault="00C5554A" w:rsidP="00B3450A">
      <w:pPr>
        <w:pStyle w:val="Paragraphedeliste"/>
        <w:widowControl w:val="0"/>
        <w:numPr>
          <w:ilvl w:val="0"/>
          <w:numId w:val="7"/>
        </w:numPr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22DE1" w:rsidRPr="00B3450A">
        <w:rPr>
          <w:rFonts w:ascii="Times New Roman" w:hAnsi="Times New Roman"/>
          <w:sz w:val="24"/>
          <w:szCs w:val="24"/>
        </w:rPr>
        <w:t>e gouvernement a décidé de faire participer les très grandes sociétés à l’effort national de solidarité en leur imposant de distribuer 2% de leurs bénéfic</w:t>
      </w:r>
      <w:r>
        <w:rPr>
          <w:rFonts w:ascii="Times New Roman" w:hAnsi="Times New Roman"/>
          <w:sz w:val="24"/>
          <w:szCs w:val="24"/>
        </w:rPr>
        <w:t>es nets à des Charitable Trusts,</w:t>
      </w:r>
    </w:p>
    <w:p w14:paraId="64CE21CC" w14:textId="77777777" w:rsidR="00C5554A" w:rsidRDefault="00C5554A" w:rsidP="00C5554A">
      <w:pPr>
        <w:pStyle w:val="Paragraphedeliste"/>
        <w:widowControl w:val="0"/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76F67F94" w14:textId="19084204" w:rsidR="00632DD3" w:rsidRPr="00C5554A" w:rsidRDefault="00C5554A" w:rsidP="00C5554A">
      <w:pPr>
        <w:pStyle w:val="Paragraphedeliste"/>
        <w:widowControl w:val="0"/>
        <w:numPr>
          <w:ilvl w:val="0"/>
          <w:numId w:val="7"/>
        </w:numPr>
        <w:tabs>
          <w:tab w:val="clear" w:pos="284"/>
          <w:tab w:val="clear" w:pos="567"/>
          <w:tab w:val="clear" w:pos="851"/>
          <w:tab w:val="clear" w:pos="113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3450A" w:rsidRPr="00C5554A">
        <w:rPr>
          <w:rFonts w:ascii="Times New Roman" w:hAnsi="Times New Roman"/>
          <w:sz w:val="24"/>
          <w:szCs w:val="24"/>
        </w:rPr>
        <w:t xml:space="preserve">ar ailleurs </w:t>
      </w:r>
      <w:r w:rsidR="00222DE1" w:rsidRPr="00C5554A">
        <w:rPr>
          <w:rFonts w:ascii="Times New Roman" w:hAnsi="Times New Roman"/>
          <w:sz w:val="24"/>
          <w:szCs w:val="24"/>
        </w:rPr>
        <w:t xml:space="preserve">1 300 sociétés (indiennes et étrangères implantées en Inde) ont décidé </w:t>
      </w:r>
      <w:r w:rsidR="00B3450A" w:rsidRPr="00C5554A">
        <w:rPr>
          <w:rFonts w:ascii="Times New Roman" w:hAnsi="Times New Roman"/>
          <w:sz w:val="24"/>
          <w:szCs w:val="24"/>
        </w:rPr>
        <w:t xml:space="preserve">de former un groupement </w:t>
      </w:r>
      <w:r>
        <w:rPr>
          <w:rFonts w:ascii="Times New Roman" w:hAnsi="Times New Roman"/>
          <w:sz w:val="24"/>
          <w:szCs w:val="24"/>
        </w:rPr>
        <w:t xml:space="preserve">dénommé </w:t>
      </w:r>
      <w:r w:rsidR="00632DD3" w:rsidRPr="00C5554A">
        <w:rPr>
          <w:rFonts w:ascii="Times New Roman" w:hAnsi="Times New Roman"/>
          <w:sz w:val="24"/>
          <w:szCs w:val="24"/>
        </w:rPr>
        <w:t>« CSR » (Corporate Social R</w:t>
      </w:r>
      <w:r w:rsidR="00222DE1" w:rsidRPr="00C5554A">
        <w:rPr>
          <w:rFonts w:ascii="Times New Roman" w:hAnsi="Times New Roman"/>
          <w:sz w:val="24"/>
          <w:szCs w:val="24"/>
        </w:rPr>
        <w:t xml:space="preserve">esponsability), </w:t>
      </w:r>
      <w:r w:rsidR="00B3450A" w:rsidRPr="00C5554A">
        <w:rPr>
          <w:rFonts w:ascii="Times New Roman" w:hAnsi="Times New Roman"/>
          <w:sz w:val="24"/>
          <w:szCs w:val="24"/>
        </w:rPr>
        <w:t>pour venir en aide</w:t>
      </w:r>
      <w:r>
        <w:rPr>
          <w:rFonts w:ascii="Times New Roman" w:hAnsi="Times New Roman"/>
          <w:sz w:val="24"/>
          <w:szCs w:val="24"/>
        </w:rPr>
        <w:t xml:space="preserve"> aux plus démunis en</w:t>
      </w:r>
      <w:r w:rsidR="00B3450A" w:rsidRPr="00C5554A">
        <w:rPr>
          <w:rFonts w:ascii="Times New Roman" w:hAnsi="Times New Roman"/>
          <w:sz w:val="24"/>
          <w:szCs w:val="24"/>
        </w:rPr>
        <w:t xml:space="preserve"> </w:t>
      </w:r>
      <w:r w:rsidR="00222DE1" w:rsidRPr="00C5554A">
        <w:rPr>
          <w:rFonts w:ascii="Times New Roman" w:hAnsi="Times New Roman"/>
          <w:sz w:val="24"/>
          <w:szCs w:val="24"/>
        </w:rPr>
        <w:t>distribuant quelques pour cents de leurs bénéfices,</w:t>
      </w:r>
      <w:r w:rsidR="00632DD3" w:rsidRPr="00C55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 des charitable trusts, </w:t>
      </w:r>
      <w:r w:rsidR="00632DD3" w:rsidRPr="00C5554A">
        <w:rPr>
          <w:rFonts w:ascii="Times New Roman" w:hAnsi="Times New Roman"/>
          <w:sz w:val="24"/>
          <w:szCs w:val="24"/>
        </w:rPr>
        <w:t>contre remise d’un reçu fiscal.</w:t>
      </w:r>
    </w:p>
    <w:p w14:paraId="5392503D" w14:textId="77777777" w:rsidR="00632DD3" w:rsidRPr="00632DD3" w:rsidRDefault="00632DD3" w:rsidP="00B3450A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14:paraId="07A98469" w14:textId="6671AAE8" w:rsidR="00222DE1" w:rsidRDefault="00632DD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22DE1" w:rsidRPr="00632DD3">
        <w:rPr>
          <w:rFonts w:ascii="Times New Roman" w:hAnsi="Times New Roman"/>
          <w:sz w:val="24"/>
          <w:szCs w:val="24"/>
        </w:rPr>
        <w:t xml:space="preserve">es </w:t>
      </w:r>
      <w:r>
        <w:rPr>
          <w:rFonts w:ascii="Times New Roman" w:hAnsi="Times New Roman"/>
          <w:sz w:val="24"/>
          <w:szCs w:val="24"/>
        </w:rPr>
        <w:t>ONG</w:t>
      </w:r>
      <w:r w:rsidR="00222DE1" w:rsidRPr="00632DD3">
        <w:rPr>
          <w:rFonts w:ascii="Times New Roman" w:hAnsi="Times New Roman"/>
          <w:sz w:val="24"/>
          <w:szCs w:val="24"/>
        </w:rPr>
        <w:t xml:space="preserve"> tit</w:t>
      </w:r>
      <w:r w:rsidR="00C5554A">
        <w:rPr>
          <w:rFonts w:ascii="Times New Roman" w:hAnsi="Times New Roman"/>
          <w:sz w:val="24"/>
          <w:szCs w:val="24"/>
        </w:rPr>
        <w:t xml:space="preserve">ulaires du FCRA sont très attractives pour ces sociétés car elle présentent un caractère de grande sécurité, </w:t>
      </w:r>
      <w:r>
        <w:rPr>
          <w:rFonts w:ascii="Times New Roman" w:hAnsi="Times New Roman"/>
          <w:sz w:val="24"/>
          <w:szCs w:val="24"/>
        </w:rPr>
        <w:t xml:space="preserve">par le </w:t>
      </w:r>
      <w:r w:rsidR="00B3450A">
        <w:rPr>
          <w:rFonts w:ascii="Times New Roman" w:hAnsi="Times New Roman"/>
          <w:sz w:val="24"/>
          <w:szCs w:val="24"/>
        </w:rPr>
        <w:t xml:space="preserve">très </w:t>
      </w:r>
      <w:r>
        <w:rPr>
          <w:rFonts w:ascii="Times New Roman" w:hAnsi="Times New Roman"/>
          <w:sz w:val="24"/>
          <w:szCs w:val="24"/>
        </w:rPr>
        <w:t>strict contrôle dont elles sont l’objet</w:t>
      </w:r>
      <w:r w:rsidR="00C5554A">
        <w:rPr>
          <w:rFonts w:ascii="Times New Roman" w:hAnsi="Times New Roman"/>
          <w:sz w:val="24"/>
          <w:szCs w:val="24"/>
        </w:rPr>
        <w:t>.</w:t>
      </w:r>
    </w:p>
    <w:p w14:paraId="76560834" w14:textId="77777777" w:rsidR="00632DD3" w:rsidRDefault="00632DD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5740BA71" w14:textId="2568DAC4" w:rsidR="00B3450A" w:rsidRDefault="00B3450A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pouvoir recevoir ces fonds, </w:t>
      </w:r>
      <w:r w:rsidRPr="00222DE1">
        <w:rPr>
          <w:rFonts w:ascii="Times New Roman" w:hAnsi="Times New Roman"/>
          <w:sz w:val="24"/>
          <w:szCs w:val="24"/>
        </w:rPr>
        <w:t>le charitable trust doit être titulaire d’une autorisation appelée « 80 G », IEA Trust a déposé un</w:t>
      </w:r>
      <w:r w:rsidR="00854839">
        <w:rPr>
          <w:rFonts w:ascii="Times New Roman" w:hAnsi="Times New Roman"/>
          <w:sz w:val="24"/>
          <w:szCs w:val="24"/>
        </w:rPr>
        <w:t>e demande auprès des autorités</w:t>
      </w:r>
      <w:r w:rsidRPr="00222DE1">
        <w:rPr>
          <w:rFonts w:ascii="Times New Roman" w:hAnsi="Times New Roman"/>
          <w:sz w:val="24"/>
          <w:szCs w:val="24"/>
        </w:rPr>
        <w:t xml:space="preserve"> et elle devrait l’obtenir d’ici peu.</w:t>
      </w:r>
    </w:p>
    <w:p w14:paraId="663BECC9" w14:textId="77777777" w:rsidR="00B64035" w:rsidRDefault="00B64035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23F7D5E7" w14:textId="34456CD2" w:rsidR="00B64035" w:rsidRDefault="00B64035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L’argent qui sera collecté directement en Inde ne sera pas soumis aux règles du FCRA et son utilisation ne sera pas soumise au même contrôle, à savoir la justification </w:t>
      </w:r>
      <w:r w:rsidR="003C2B53">
        <w:rPr>
          <w:rFonts w:ascii="Times New Roman" w:hAnsi="Times New Roman"/>
          <w:sz w:val="24"/>
          <w:szCs w:val="24"/>
        </w:rPr>
        <w:t>de son utilisation pour l’Education. Cela nous permettra de continuer à prendre en charge des cas particuliers d’enfants handicapés ou autres.</w:t>
      </w:r>
    </w:p>
    <w:p w14:paraId="66C584F7" w14:textId="77777777" w:rsidR="003C2B53" w:rsidRDefault="003C2B5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428AE93F" w14:textId="3227D433" w:rsidR="003C2B53" w:rsidRDefault="003C2B5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avons relevé beaucoup de défis cette dernière année et nous sommes persuadés que toutes ces modifications vont nous ouvrir de nouveaux horizons.</w:t>
      </w:r>
    </w:p>
    <w:p w14:paraId="3C266387" w14:textId="77777777" w:rsidR="003C2B53" w:rsidRDefault="003C2B5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27C4FD7F" w14:textId="31499D9A" w:rsidR="003C2B53" w:rsidRDefault="003C2B53" w:rsidP="00632DD3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Président</w:t>
      </w:r>
    </w:p>
    <w:p w14:paraId="3D082530" w14:textId="7F3500ED" w:rsidR="00FA0A7C" w:rsidRPr="00854839" w:rsidRDefault="003C2B53" w:rsidP="00854839">
      <w:pPr>
        <w:tabs>
          <w:tab w:val="clear" w:pos="284"/>
          <w:tab w:val="clear" w:pos="567"/>
          <w:tab w:val="clear" w:pos="851"/>
          <w:tab w:val="clear" w:pos="1134"/>
          <w:tab w:val="left" w:pos="0"/>
        </w:tabs>
        <w:spacing w:before="0" w:after="0"/>
        <w:ind w:left="0" w:firstLine="0"/>
        <w:rPr>
          <w:rFonts w:ascii="Times New Roman" w:eastAsiaTheme="minorEastAsia" w:hAnsi="Times New Roman"/>
          <w:snapToGrid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Alain Ménez</w:t>
      </w:r>
    </w:p>
    <w:sectPr w:rsidR="00FA0A7C" w:rsidRPr="00854839" w:rsidSect="00397380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E44B6" w14:textId="77777777" w:rsidR="00B64035" w:rsidRDefault="00B64035" w:rsidP="00384D2C">
      <w:pPr>
        <w:spacing w:before="0" w:after="0"/>
      </w:pPr>
      <w:r>
        <w:separator/>
      </w:r>
    </w:p>
  </w:endnote>
  <w:endnote w:type="continuationSeparator" w:id="0">
    <w:p w14:paraId="7E05B972" w14:textId="77777777" w:rsidR="00B64035" w:rsidRDefault="00B64035" w:rsidP="00384D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960B" w14:textId="77777777" w:rsidR="00B64035" w:rsidRDefault="00B64035" w:rsidP="00384D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ACF047" w14:textId="77777777" w:rsidR="00B64035" w:rsidRDefault="00B64035" w:rsidP="00384D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B0" w14:textId="77777777" w:rsidR="00B64035" w:rsidRDefault="00B64035" w:rsidP="00384D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5483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64AAC13" w14:textId="77777777" w:rsidR="00B64035" w:rsidRDefault="00B64035" w:rsidP="00384D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33C1" w14:textId="77777777" w:rsidR="00B64035" w:rsidRDefault="00B64035" w:rsidP="00384D2C">
      <w:pPr>
        <w:spacing w:before="0" w:after="0"/>
      </w:pPr>
      <w:r>
        <w:separator/>
      </w:r>
    </w:p>
  </w:footnote>
  <w:footnote w:type="continuationSeparator" w:id="0">
    <w:p w14:paraId="3E08568E" w14:textId="77777777" w:rsidR="00B64035" w:rsidRDefault="00B64035" w:rsidP="00384D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A40"/>
    <w:multiLevelType w:val="hybridMultilevel"/>
    <w:tmpl w:val="76B0AA74"/>
    <w:lvl w:ilvl="0" w:tplc="1E609E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472A8"/>
    <w:multiLevelType w:val="hybridMultilevel"/>
    <w:tmpl w:val="DE8C2B60"/>
    <w:lvl w:ilvl="0" w:tplc="040C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>
    <w:nsid w:val="2C0C712F"/>
    <w:multiLevelType w:val="hybridMultilevel"/>
    <w:tmpl w:val="C8F01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51EB4"/>
    <w:multiLevelType w:val="hybridMultilevel"/>
    <w:tmpl w:val="3FEA5480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63362A4"/>
    <w:multiLevelType w:val="hybridMultilevel"/>
    <w:tmpl w:val="1B306700"/>
    <w:lvl w:ilvl="0" w:tplc="48A8E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D7CE0"/>
    <w:multiLevelType w:val="hybridMultilevel"/>
    <w:tmpl w:val="E042BE18"/>
    <w:lvl w:ilvl="0" w:tplc="8BC802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269E6"/>
    <w:multiLevelType w:val="hybridMultilevel"/>
    <w:tmpl w:val="10AAC6F6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7C"/>
    <w:rsid w:val="00014FD6"/>
    <w:rsid w:val="00153E73"/>
    <w:rsid w:val="00177E6E"/>
    <w:rsid w:val="00195BBB"/>
    <w:rsid w:val="001A5675"/>
    <w:rsid w:val="001B4F6D"/>
    <w:rsid w:val="001D4E6D"/>
    <w:rsid w:val="00222DE1"/>
    <w:rsid w:val="00245FB8"/>
    <w:rsid w:val="00384D2C"/>
    <w:rsid w:val="00397380"/>
    <w:rsid w:val="003A6321"/>
    <w:rsid w:val="003C2B53"/>
    <w:rsid w:val="00434816"/>
    <w:rsid w:val="004C0F55"/>
    <w:rsid w:val="004D315F"/>
    <w:rsid w:val="0050592B"/>
    <w:rsid w:val="00591A66"/>
    <w:rsid w:val="00632DD3"/>
    <w:rsid w:val="00757C27"/>
    <w:rsid w:val="00835A0F"/>
    <w:rsid w:val="00844EC6"/>
    <w:rsid w:val="00854839"/>
    <w:rsid w:val="00875932"/>
    <w:rsid w:val="00951554"/>
    <w:rsid w:val="0096072C"/>
    <w:rsid w:val="00A22161"/>
    <w:rsid w:val="00A46D96"/>
    <w:rsid w:val="00A47C05"/>
    <w:rsid w:val="00AE7BB8"/>
    <w:rsid w:val="00B130E8"/>
    <w:rsid w:val="00B3450A"/>
    <w:rsid w:val="00B64035"/>
    <w:rsid w:val="00B94AD3"/>
    <w:rsid w:val="00BA3C0C"/>
    <w:rsid w:val="00BA79F1"/>
    <w:rsid w:val="00BB60BE"/>
    <w:rsid w:val="00C5554A"/>
    <w:rsid w:val="00C81DDB"/>
    <w:rsid w:val="00D113F1"/>
    <w:rsid w:val="00D77397"/>
    <w:rsid w:val="00D9505C"/>
    <w:rsid w:val="00DB7B8F"/>
    <w:rsid w:val="00DC40CA"/>
    <w:rsid w:val="00EC09BC"/>
    <w:rsid w:val="00F2392D"/>
    <w:rsid w:val="00F444CB"/>
    <w:rsid w:val="00F542B4"/>
    <w:rsid w:val="00F71D66"/>
    <w:rsid w:val="00F90097"/>
    <w:rsid w:val="00FA0A7C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ED9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7C"/>
    <w:pPr>
      <w:tabs>
        <w:tab w:val="left" w:pos="284"/>
        <w:tab w:val="left" w:pos="567"/>
        <w:tab w:val="left" w:pos="851"/>
        <w:tab w:val="left" w:pos="1134"/>
      </w:tabs>
      <w:spacing w:before="40" w:after="40"/>
      <w:ind w:left="284" w:hanging="284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A7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84D2C"/>
    <w:pPr>
      <w:tabs>
        <w:tab w:val="clear" w:pos="284"/>
        <w:tab w:val="clear" w:pos="567"/>
        <w:tab w:val="clear" w:pos="851"/>
        <w:tab w:val="clear" w:pos="1134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4D2C"/>
    <w:rPr>
      <w:rFonts w:ascii="Tahoma" w:eastAsia="Times New Roman" w:hAnsi="Tahoma" w:cs="Times New Roman"/>
      <w:snapToGrid w:val="0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84D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7C"/>
    <w:pPr>
      <w:tabs>
        <w:tab w:val="left" w:pos="284"/>
        <w:tab w:val="left" w:pos="567"/>
        <w:tab w:val="left" w:pos="851"/>
        <w:tab w:val="left" w:pos="1134"/>
      </w:tabs>
      <w:spacing w:before="40" w:after="40"/>
      <w:ind w:left="284" w:hanging="284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A7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84D2C"/>
    <w:pPr>
      <w:tabs>
        <w:tab w:val="clear" w:pos="284"/>
        <w:tab w:val="clear" w:pos="567"/>
        <w:tab w:val="clear" w:pos="851"/>
        <w:tab w:val="clear" w:pos="1134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4D2C"/>
    <w:rPr>
      <w:rFonts w:ascii="Tahoma" w:eastAsia="Times New Roman" w:hAnsi="Tahoma" w:cs="Times New Roman"/>
      <w:snapToGrid w:val="0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8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812</Words>
  <Characters>4471</Characters>
  <Application>Microsoft Macintosh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Bourbousson</dc:creator>
  <cp:keywords/>
  <dc:description/>
  <cp:lastModifiedBy>Jacqueline Bourbousson</cp:lastModifiedBy>
  <cp:revision>10</cp:revision>
  <dcterms:created xsi:type="dcterms:W3CDTF">2019-06-11T14:42:00Z</dcterms:created>
  <dcterms:modified xsi:type="dcterms:W3CDTF">2019-07-15T17:09:00Z</dcterms:modified>
</cp:coreProperties>
</file>